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5664" w:hanging="561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 xml:space="preserve">УТВЕРЖДЕН </w:t>
      </w:r>
    </w:p>
    <w:p>
      <w:pPr>
        <w:spacing w:after="0" w:line="240" w:lineRule="auto"/>
        <w:ind w:left="5103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 xml:space="preserve">постановлением </w:t>
      </w:r>
    </w:p>
    <w:p>
      <w:pPr>
        <w:spacing w:after="0" w:line="240" w:lineRule="auto"/>
        <w:ind w:left="5103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left="5103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>от 24 декабря 2020 года № 126-п</w:t>
      </w:r>
      <w:bookmarkStart w:id="0" w:name="_GoBack"/>
      <w:bookmarkEnd w:id="0"/>
    </w:p>
    <w:p>
      <w:pPr>
        <w:spacing w:after="0" w:line="24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>
        <w:rPr>
          <w:rFonts w:ascii="PT Astra Serif" w:hAnsi="PT Astra Serif"/>
          <w:b/>
          <w:color w:val="000000" w:themeColor="text1"/>
          <w:sz w:val="28"/>
          <w:szCs w:val="28"/>
        </w:rPr>
        <w:t>ПОРЯДОК</w:t>
      </w:r>
    </w:p>
    <w:p>
      <w:pPr>
        <w:spacing w:after="0" w:line="240" w:lineRule="auto"/>
        <w:jc w:val="center"/>
        <w:rPr>
          <w:rFonts w:ascii="PT Astra Serif" w:eastAsia="Times New Roman" w:hAnsi="PT Astra Serif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PT Astra Serif" w:eastAsia="Times New Roman" w:hAnsi="PT Astra Serif"/>
          <w:b/>
          <w:bCs/>
          <w:color w:val="000000" w:themeColor="text1"/>
          <w:sz w:val="28"/>
          <w:szCs w:val="28"/>
          <w:lang w:eastAsia="ru-RU"/>
        </w:rPr>
        <w:t>поощрения в 2020 году муниципальной управленческой команды муниципального округа Тазовский район Ямало-Ненецкого автономного округа, деятельность которой обеспечила положительную динамику показателей для оценки эффективности деятельности</w:t>
      </w:r>
    </w:p>
    <w:p>
      <w:pPr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color w:val="000000" w:themeColor="text1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color w:val="000000" w:themeColor="text1"/>
          <w:sz w:val="28"/>
          <w:szCs w:val="28"/>
        </w:rPr>
      </w:pPr>
    </w:p>
    <w:p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 xml:space="preserve">Настоящий порядок поощрения в 2020 году муниципальной управленческой команды </w:t>
      </w:r>
      <w:r>
        <w:rPr>
          <w:rFonts w:ascii="PT Astra Serif" w:hAnsi="PT Astra Serif"/>
          <w:bCs/>
          <w:color w:val="000000" w:themeColor="text1"/>
          <w:sz w:val="28"/>
          <w:szCs w:val="28"/>
        </w:rPr>
        <w:t>муниципального округа Тазовский район Ямало-Ненецкого автономного округа, деятельность которой обеспечила положительную динамику показателей для оценки эффективности деятельности</w:t>
      </w:r>
      <w:r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>
        <w:rPr>
          <w:rFonts w:ascii="PT Astra Serif" w:hAnsi="PT Astra Serif"/>
          <w:bCs/>
          <w:color w:val="000000" w:themeColor="text1"/>
          <w:sz w:val="28"/>
          <w:szCs w:val="28"/>
        </w:rPr>
        <w:t xml:space="preserve">(далее – Порядок) </w:t>
      </w:r>
      <w:r>
        <w:rPr>
          <w:rFonts w:ascii="PT Astra Serif" w:hAnsi="PT Astra Serif"/>
          <w:color w:val="000000" w:themeColor="text1"/>
          <w:sz w:val="28"/>
          <w:szCs w:val="28"/>
        </w:rPr>
        <w:t xml:space="preserve">устанавливает условия и процедуру поощрения в 2020 году муниципальной управленческой команды </w:t>
      </w:r>
      <w:r>
        <w:rPr>
          <w:rFonts w:ascii="PT Astra Serif" w:hAnsi="PT Astra Serif"/>
          <w:bCs/>
          <w:color w:val="000000" w:themeColor="text1"/>
          <w:sz w:val="28"/>
          <w:szCs w:val="28"/>
        </w:rPr>
        <w:t>муниципального округа Тазовский район Ямало-Ненецкого автономного округа</w:t>
      </w:r>
      <w:r>
        <w:rPr>
          <w:rFonts w:ascii="PT Astra Serif" w:hAnsi="PT Astra Serif"/>
          <w:color w:val="000000" w:themeColor="text1"/>
          <w:sz w:val="28"/>
          <w:szCs w:val="28"/>
        </w:rPr>
        <w:t xml:space="preserve">, деятельность которой способствовала достижению значений (уровней) показателей                                           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Федерации, утвержденных Указом Президента Российской Федерации от </w:t>
      </w:r>
      <w:smartTag w:uri="urn:schemas-microsoft-com:office:smarttags" w:element="date">
        <w:smartTagPr>
          <w:attr w:name="ls" w:val="trans"/>
          <w:attr w:name="Month" w:val="4"/>
          <w:attr w:name="Day" w:val="25"/>
          <w:attr w:name="Year" w:val="2019"/>
        </w:smartTagPr>
        <w:r>
          <w:rPr>
            <w:rFonts w:ascii="PT Astra Serif" w:hAnsi="PT Astra Serif"/>
            <w:color w:val="000000" w:themeColor="text1"/>
            <w:sz w:val="28"/>
            <w:szCs w:val="28"/>
          </w:rPr>
          <w:t>25 апреля 2019 года</w:t>
        </w:r>
      </w:smartTag>
      <w:r>
        <w:rPr>
          <w:rFonts w:ascii="PT Astra Serif" w:hAnsi="PT Astra Serif"/>
          <w:color w:val="000000" w:themeColor="text1"/>
          <w:sz w:val="28"/>
          <w:szCs w:val="28"/>
        </w:rPr>
        <w:t xml:space="preserve"> № 193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Федерации».</w:t>
      </w:r>
    </w:p>
    <w:p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 xml:space="preserve">Под муниципальной управленческой командой </w:t>
      </w:r>
      <w:r>
        <w:rPr>
          <w:rFonts w:ascii="PT Astra Serif" w:hAnsi="PT Astra Serif"/>
          <w:bCs/>
          <w:color w:val="000000" w:themeColor="text1"/>
          <w:sz w:val="28"/>
          <w:szCs w:val="28"/>
        </w:rPr>
        <w:t>муниципального округа Тазовский район Ямало-Ненецкого автономного округа</w:t>
      </w:r>
      <w:r>
        <w:rPr>
          <w:rFonts w:ascii="PT Astra Serif" w:hAnsi="PT Astra Serif"/>
          <w:color w:val="000000" w:themeColor="text1"/>
          <w:sz w:val="28"/>
          <w:szCs w:val="28"/>
        </w:rPr>
        <w:t xml:space="preserve"> понимаются должностные лица, замещающие должности муниципальной службы                                 в отраслевых (функциональных) органах Администрации Тазовского района, структурных подразделениях Администрации Тазовского района, указанных                                       в приложении 1 к настоящему Порядку, деятельность которых обеспечила положительную динамику показателей эффективности деятельности, указанных в приложении № 1 к настоящему Порядку (далее – муниципальная управленческая команда).</w:t>
      </w:r>
    </w:p>
    <w:p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 xml:space="preserve">Главным администратором доходов бюджета муниципального образования  </w:t>
      </w:r>
      <w:r>
        <w:rPr>
          <w:rFonts w:ascii="PT Astra Serif" w:hAnsi="PT Astra Serif"/>
          <w:bCs/>
          <w:color w:val="000000" w:themeColor="text1"/>
          <w:sz w:val="28"/>
          <w:szCs w:val="28"/>
        </w:rPr>
        <w:t>муниципальный округ Тазовский район Ямало-Ненецкого автономного округа</w:t>
      </w:r>
      <w:r>
        <w:rPr>
          <w:rFonts w:ascii="PT Astra Serif" w:hAnsi="PT Astra Serif"/>
          <w:color w:val="000000" w:themeColor="text1"/>
          <w:sz w:val="28"/>
          <w:szCs w:val="28"/>
        </w:rPr>
        <w:t xml:space="preserve"> является Администрация Тазовского района.</w:t>
      </w:r>
    </w:p>
    <w:p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lastRenderedPageBreak/>
        <w:t xml:space="preserve">Поощрение производится при достижении положительной динамики показателей эффективности деятельности, предусмотренных </w:t>
      </w:r>
      <w:r>
        <w:rPr>
          <w:rFonts w:ascii="Times New Roman" w:eastAsiaTheme="minorHAnsi" w:hAnsi="Times New Roman"/>
          <w:color w:val="000000"/>
          <w:sz w:val="28"/>
          <w:szCs w:val="28"/>
        </w:rPr>
        <w:t>постановление Правительства ЯНАО от 24 декабря 2020 № 1529-П «О предоставлении иной дотации на поощрение муниципальных управленческих команд в Ямало–Ненецком автономном округе в 2020 году».</w:t>
      </w:r>
    </w:p>
    <w:p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 xml:space="preserve">Выплата поощрения осуществляется главными распорядителями средств местного бюджета за счет средств иной дотации из окружного бюджета, предоставленного на эти цели. </w:t>
      </w:r>
    </w:p>
    <w:p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>Распределение бюджетных ассигнований между главными распорядителями бюджетных средств определяется пропорционально сумме должностных окладов должностных лиц Администрации Тазовского района, отраслевого (функционального) органа Администрации Тазовского района, указанных в пункте 2 настоящего Порядка к сумме иной дотации, предоставленной бюджету муниципального образования в целях поощрения муниципальной управленческой команды за содействие достижению показателей для оценки эффективности деятельности.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>
        <w:rPr>
          <w:rFonts w:ascii="Liberation Serif" w:hAnsi="Liberation Serif"/>
          <w:color w:val="000000" w:themeColor="text1"/>
          <w:sz w:val="28"/>
          <w:szCs w:val="28"/>
        </w:rPr>
        <w:t>Объем бюджетных ассигнований главного распорядителя бюджетных средств определяется по формуле:</w:t>
      </w:r>
    </w:p>
    <w:p>
      <w:pPr>
        <w:widowControl w:val="0"/>
        <w:autoSpaceDE w:val="0"/>
        <w:autoSpaceDN w:val="0"/>
        <w:adjustRightInd w:val="0"/>
        <w:outlineLvl w:val="1"/>
        <w:rPr>
          <w:rFonts w:ascii="Liberation Serif" w:hAnsi="Liberation Serif"/>
          <w:color w:val="000000" w:themeColor="text1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jc w:val="center"/>
        <w:outlineLvl w:val="1"/>
        <w:rPr>
          <w:rFonts w:ascii="Liberation Serif" w:hAnsi="Liberation Serif"/>
          <w:color w:val="000000" w:themeColor="text1"/>
          <w:sz w:val="28"/>
          <w:szCs w:val="28"/>
        </w:rPr>
      </w:pPr>
      <w:r>
        <w:rPr>
          <w:rFonts w:ascii="Liberation Serif" w:hAnsi="Liberation Serif"/>
          <w:color w:val="000000" w:themeColor="text1"/>
          <w:sz w:val="28"/>
          <w:szCs w:val="28"/>
          <w:lang w:val="en-US"/>
        </w:rPr>
        <w:t>V</w:t>
      </w:r>
      <w:r>
        <w:rPr>
          <w:rFonts w:ascii="Liberation Serif" w:hAnsi="Liberation Serif"/>
          <w:color w:val="000000" w:themeColor="text1"/>
          <w:sz w:val="28"/>
          <w:szCs w:val="28"/>
          <w:vertAlign w:val="subscript"/>
          <w:lang w:val="en-US"/>
        </w:rPr>
        <w:t>g</w:t>
      </w:r>
      <w:r>
        <w:rPr>
          <w:rFonts w:ascii="Liberation Serif" w:hAnsi="Liberation Serif"/>
          <w:color w:val="000000" w:themeColor="text1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="Times New Roman" w:hAnsi="Liberation Serif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en-US"/>
              </w:rPr>
              <m:t>DOg</m:t>
            </m:r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   </m:t>
            </m:r>
          </m:num>
          <m:den>
            <m:nary>
              <m:naryPr>
                <m:chr m:val="∑"/>
                <m:limLoc m:val="undOvr"/>
                <m:ctrlPr>
                  <w:rPr>
                    <w:rFonts w:ascii="Cambria Math" w:eastAsia="Times New Roman" w:hAnsi="Liberation Serif"/>
                    <w:i/>
                    <w:color w:val="000000" w:themeColor="text1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g</m:t>
                </m:r>
                <m:r>
                  <w:rPr>
                    <w:rFonts w:ascii="Cambria Math" w:hAnsi="Liberation Serif"/>
                    <w:color w:val="000000" w:themeColor="text1"/>
                    <w:sz w:val="28"/>
                    <w:szCs w:val="28"/>
                  </w:rPr>
                  <m:t>=1</m:t>
                </m:r>
              </m:sub>
              <m:sup>
                <m:r>
                  <w:rPr>
                    <w:rFonts w:ascii="Cambria Math" w:hAnsi="Liberation Serif"/>
                    <w:color w:val="000000" w:themeColor="text1"/>
                    <w:sz w:val="28"/>
                    <w:szCs w:val="28"/>
                  </w:rPr>
                  <m:t>т</m:t>
                </m:r>
              </m:sup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DO</m:t>
                </m:r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g</m:t>
                </m:r>
              </m:e>
            </m:nary>
          </m:den>
        </m:f>
      </m:oMath>
      <w:r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˟</w:t>
      </w:r>
      <w:r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>
        <w:rPr>
          <w:rFonts w:ascii="Liberation Serif" w:hAnsi="Liberation Serif"/>
          <w:color w:val="000000" w:themeColor="text1"/>
          <w:sz w:val="28"/>
          <w:szCs w:val="28"/>
          <w:lang w:val="en-US"/>
        </w:rPr>
        <w:t>V</w:t>
      </w:r>
      <w:r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>
        <w:rPr>
          <w:rFonts w:ascii="Liberation Serif" w:hAnsi="Liberation Serif"/>
          <w:color w:val="000000" w:themeColor="text1"/>
          <w:sz w:val="28"/>
          <w:szCs w:val="28"/>
          <w:vertAlign w:val="subscript"/>
        </w:rPr>
        <w:t>общ</w:t>
      </w:r>
      <w:r>
        <w:rPr>
          <w:rFonts w:ascii="Liberation Serif" w:hAnsi="Liberation Serif"/>
          <w:color w:val="000000" w:themeColor="text1"/>
          <w:sz w:val="28"/>
          <w:szCs w:val="28"/>
        </w:rPr>
        <w:t>,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eastAsiaTheme="minorHAnsi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eastAsiaTheme="minorHAnsi" w:hAnsi="Liberation Serif" w:cs="Liberation Serif"/>
          <w:color w:val="000000" w:themeColor="text1"/>
          <w:sz w:val="28"/>
          <w:szCs w:val="28"/>
        </w:rPr>
        <w:t>где: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>
        <w:rPr>
          <w:rFonts w:ascii="Liberation Serif" w:hAnsi="Liberation Serif"/>
          <w:color w:val="000000" w:themeColor="text1"/>
          <w:sz w:val="28"/>
          <w:szCs w:val="28"/>
          <w:lang w:val="en-US"/>
        </w:rPr>
        <w:t>V</w:t>
      </w:r>
      <w:r>
        <w:rPr>
          <w:rFonts w:ascii="Liberation Serif" w:hAnsi="Liberation Serif"/>
          <w:color w:val="000000" w:themeColor="text1"/>
          <w:sz w:val="28"/>
          <w:szCs w:val="28"/>
          <w:vertAlign w:val="subscript"/>
          <w:lang w:val="en-US"/>
        </w:rPr>
        <w:t>g</w:t>
      </w:r>
      <w:r>
        <w:rPr>
          <w:rFonts w:ascii="Liberation Serif" w:hAnsi="Liberation Serif"/>
          <w:color w:val="000000" w:themeColor="text1"/>
          <w:sz w:val="28"/>
          <w:szCs w:val="28"/>
        </w:rPr>
        <w:t xml:space="preserve"> – объем бюджетных ассигнований  g–го</w:t>
      </w:r>
      <w:r>
        <w:rPr>
          <w:rFonts w:ascii="Liberation Serif" w:eastAsiaTheme="minorHAnsi" w:hAnsi="Liberation Serif" w:cs="Liberation Serif"/>
          <w:color w:val="000000" w:themeColor="text1"/>
          <w:sz w:val="28"/>
          <w:szCs w:val="28"/>
        </w:rPr>
        <w:t xml:space="preserve"> </w:t>
      </w:r>
      <w:r>
        <w:rPr>
          <w:rFonts w:ascii="Liberation Serif" w:hAnsi="Liberation Serif"/>
          <w:color w:val="000000" w:themeColor="text1"/>
          <w:sz w:val="28"/>
          <w:szCs w:val="28"/>
        </w:rPr>
        <w:t>главного распорядителя бюджетных средств на поощрение должностных лиц муниципальной управленческой команды, тыс. рублей;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eastAsiaTheme="minorHAnsi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hAnsi="Liberation Serif"/>
          <w:color w:val="000000" w:themeColor="text1"/>
          <w:sz w:val="28"/>
          <w:szCs w:val="28"/>
          <w:lang w:val="en-US"/>
        </w:rPr>
        <w:t>DO</w:t>
      </w:r>
      <w:r>
        <w:rPr>
          <w:rFonts w:ascii="Liberation Serif" w:hAnsi="Liberation Serif"/>
          <w:color w:val="000000" w:themeColor="text1"/>
          <w:sz w:val="28"/>
          <w:szCs w:val="28"/>
        </w:rPr>
        <w:t xml:space="preserve"> – сумма должностных окладов должностных лиц муниципальной управленческой команды </w:t>
      </w:r>
      <w:r>
        <w:rPr>
          <w:rFonts w:ascii="Liberation Serif" w:hAnsi="Liberation Serif"/>
          <w:color w:val="000000" w:themeColor="text1"/>
          <w:sz w:val="28"/>
          <w:szCs w:val="28"/>
          <w:lang w:val="en-US"/>
        </w:rPr>
        <w:t>g</w:t>
      </w:r>
      <w:r>
        <w:rPr>
          <w:rFonts w:ascii="Liberation Serif" w:hAnsi="Liberation Serif"/>
          <w:color w:val="000000" w:themeColor="text1"/>
          <w:sz w:val="28"/>
          <w:szCs w:val="28"/>
        </w:rPr>
        <w:t>-го главного распорядителя бюджетных средств, тыс. рублей;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Liberation Serif" w:eastAsiaTheme="minorHAnsi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val="en-US"/>
        </w:rPr>
        <w:t>V</w:t>
      </w:r>
      <w:r>
        <w:rPr>
          <w:rFonts w:ascii="Liberation Serif" w:eastAsiaTheme="minorHAnsi" w:hAnsi="Liberation Serif" w:cs="Liberation Serif"/>
          <w:color w:val="000000" w:themeColor="text1"/>
          <w:sz w:val="28"/>
          <w:szCs w:val="28"/>
          <w:vertAlign w:val="subscript"/>
        </w:rPr>
        <w:t>общ</w:t>
      </w:r>
      <w:r>
        <w:rPr>
          <w:rFonts w:ascii="Liberation Serif" w:eastAsiaTheme="minorHAnsi" w:hAnsi="Liberation Serif" w:cs="Liberation Serif"/>
          <w:color w:val="000000" w:themeColor="text1"/>
          <w:sz w:val="28"/>
          <w:szCs w:val="28"/>
        </w:rPr>
        <w:t xml:space="preserve"> – общий объем </w:t>
      </w:r>
      <w:r>
        <w:rPr>
          <w:rFonts w:ascii="PT Astra Serif" w:hAnsi="PT Astra Serif"/>
          <w:color w:val="000000" w:themeColor="text1"/>
          <w:sz w:val="28"/>
          <w:szCs w:val="28"/>
        </w:rPr>
        <w:t>иной дотации, предоставленной в 2020 году бюджету муниципального образования в целях поощрения муниципальной управленческой команды</w:t>
      </w:r>
      <w:r>
        <w:rPr>
          <w:rFonts w:ascii="Liberation Serif" w:hAnsi="Liberation Serif"/>
          <w:color w:val="000000" w:themeColor="text1"/>
          <w:sz w:val="28"/>
          <w:szCs w:val="28"/>
        </w:rPr>
        <w:t>, тыс. рублей</w:t>
      </w:r>
      <w:r>
        <w:rPr>
          <w:rFonts w:ascii="Liberation Serif" w:eastAsiaTheme="minorHAnsi" w:hAnsi="Liberation Serif" w:cs="Liberation Serif"/>
          <w:color w:val="000000" w:themeColor="text1"/>
          <w:sz w:val="28"/>
          <w:szCs w:val="28"/>
        </w:rPr>
        <w:t>;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Liberation Serif" w:eastAsiaTheme="minorHAnsi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val="en-US"/>
        </w:rPr>
        <w:t>m</w:t>
      </w:r>
      <w:r>
        <w:rPr>
          <w:rFonts w:ascii="Liberation Serif" w:eastAsiaTheme="minorHAnsi" w:hAnsi="Liberation Serif" w:cs="Liberation Serif"/>
          <w:color w:val="000000" w:themeColor="text1"/>
          <w:sz w:val="28"/>
          <w:szCs w:val="28"/>
        </w:rPr>
        <w:t xml:space="preserve"> – количество главных распорядителей бюджетных средств.</w:t>
      </w:r>
    </w:p>
    <w:p>
      <w:pPr>
        <w:pStyle w:val="a4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Liberation Serif" w:eastAsiaTheme="minorHAnsi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eastAsiaTheme="minorHAnsi" w:hAnsi="Liberation Serif" w:cs="Liberation Serif"/>
          <w:color w:val="000000" w:themeColor="text1"/>
          <w:sz w:val="28"/>
          <w:szCs w:val="28"/>
        </w:rPr>
        <w:t>Размер поощрения муниципальных управленческих команд нужно округлять до полных тысяч рублей.</w:t>
      </w:r>
    </w:p>
    <w:p>
      <w:pPr>
        <w:pStyle w:val="a4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 xml:space="preserve">Решение о выплате поощрения входящему в муниципальную управленческую команду должностному лицу Администрации Тазовского района, принимается Главой Тазовского района и оформляется распоряжением Администрации Тазовского района. </w:t>
      </w:r>
    </w:p>
    <w:p>
      <w:pPr>
        <w:pStyle w:val="a4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>Решение о выплате поощрения входящему в муниципальную управленческую команду должностному лицу отраслевого (функционального) органа Администрации Тазовского района, принимается руководителем отраслевого (функционального) органа Администрации Тазовского района и оформляется правовым актом отраслевого (функционального) органа.</w:t>
      </w:r>
    </w:p>
    <w:p>
      <w:pPr>
        <w:pStyle w:val="a4"/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Liberation Serif" w:eastAsiaTheme="minorHAnsi" w:hAnsi="Liberation Serif" w:cs="Liberation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lastRenderedPageBreak/>
        <w:t>Администрация Тазовского района направляет в Департамент экономики Ямало-Ненецкого автономного округа:</w:t>
      </w:r>
    </w:p>
    <w:p>
      <w:pPr>
        <w:pStyle w:val="ab"/>
        <w:numPr>
          <w:ilvl w:val="1"/>
          <w:numId w:val="6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 w:themeColor="text1"/>
        </w:rPr>
      </w:pPr>
      <w:r>
        <w:rPr>
          <w:rFonts w:ascii="PT Astra Serif" w:hAnsi="PT Astra Serif"/>
          <w:color w:val="000000" w:themeColor="text1"/>
        </w:rPr>
        <w:t xml:space="preserve">заявку на финансирование в целях поощрения муниципальной управленческой команды за содействие достижению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 на 2020 год; </w:t>
      </w:r>
    </w:p>
    <w:p>
      <w:pPr>
        <w:pStyle w:val="ab"/>
        <w:numPr>
          <w:ilvl w:val="1"/>
          <w:numId w:val="6"/>
        </w:numPr>
        <w:tabs>
          <w:tab w:val="left" w:pos="1418"/>
        </w:tabs>
        <w:ind w:left="0" w:firstLine="709"/>
        <w:rPr>
          <w:rFonts w:ascii="PT Astra Serif" w:hAnsi="PT Astra Serif"/>
          <w:color w:val="000000" w:themeColor="text1"/>
        </w:rPr>
      </w:pPr>
      <w:r>
        <w:rPr>
          <w:rFonts w:ascii="PT Astra Serif" w:hAnsi="PT Astra Serif"/>
          <w:color w:val="000000" w:themeColor="text1"/>
        </w:rPr>
        <w:t xml:space="preserve">отчет об использовании иных дотаций. </w:t>
      </w:r>
    </w:p>
    <w:p>
      <w:pPr>
        <w:pStyle w:val="ab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rFonts w:ascii="PT Astra Serif" w:hAnsi="PT Astra Serif"/>
          <w:color w:val="000000" w:themeColor="text1"/>
          <w:szCs w:val="28"/>
        </w:rPr>
      </w:pPr>
      <w:r>
        <w:rPr>
          <w:rFonts w:ascii="PT Astra Serif" w:eastAsiaTheme="minorHAnsi" w:hAnsi="PT Astra Serif" w:cs="Helv"/>
          <w:color w:val="000000" w:themeColor="text1"/>
          <w:szCs w:val="28"/>
        </w:rPr>
        <w:t xml:space="preserve">Главные распорядители бюджетных средств, которым будут доведены бюджетные ассигнования на поощрение, в срок до 13 января                          2021 года обязаны направить в Администрацию Тазовского района отчет                             об использовании бюджетных средств </w:t>
      </w:r>
      <w:r>
        <w:rPr>
          <w:rFonts w:ascii="Liberation Serif" w:eastAsia="Calibri" w:hAnsi="Liberation Serif"/>
          <w:color w:val="000000" w:themeColor="text1"/>
          <w:szCs w:val="28"/>
          <w:lang w:eastAsia="en-US"/>
        </w:rPr>
        <w:t xml:space="preserve">по форме согласно приложению № 2                   к настоящему Порядку. </w:t>
      </w:r>
    </w:p>
    <w:p>
      <w:pPr>
        <w:spacing w:after="0" w:line="240" w:lineRule="auto"/>
        <w:ind w:firstLine="567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>
      <w:pPr>
        <w:spacing w:after="0" w:line="240" w:lineRule="auto"/>
        <w:jc w:val="both"/>
        <w:rPr>
          <w:rFonts w:ascii="PT Astra Serif" w:hAnsi="PT Astra Serif"/>
          <w:color w:val="000000" w:themeColor="text1"/>
        </w:rPr>
      </w:pPr>
    </w:p>
    <w:sectPr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PT Astra Serif" w:hAnsi="PT Astra Serif"/>
        <w:sz w:val="24"/>
        <w:szCs w:val="24"/>
      </w:rPr>
      <w:id w:val="-688290635"/>
      <w:docPartObj>
        <w:docPartGallery w:val="Page Numbers (Top of Page)"/>
        <w:docPartUnique/>
      </w:docPartObj>
    </w:sdtPr>
    <w:sdtContent>
      <w:p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>
    <w:pPr>
      <w:pStyle w:val="a7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163EE"/>
    <w:multiLevelType w:val="multilevel"/>
    <w:tmpl w:val="2682D3E2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37" w:hanging="2160"/>
      </w:pPr>
      <w:rPr>
        <w:rFonts w:hint="default"/>
      </w:rPr>
    </w:lvl>
  </w:abstractNum>
  <w:abstractNum w:abstractNumId="1">
    <w:nsid w:val="2A606ADA"/>
    <w:multiLevelType w:val="hybridMultilevel"/>
    <w:tmpl w:val="1B04AA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6923F34"/>
    <w:multiLevelType w:val="multilevel"/>
    <w:tmpl w:val="017098E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3D814BE3"/>
    <w:multiLevelType w:val="multilevel"/>
    <w:tmpl w:val="51B62C14"/>
    <w:lvl w:ilvl="0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588A601F"/>
    <w:multiLevelType w:val="hybridMultilevel"/>
    <w:tmpl w:val="BF2EE7E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6DC27900"/>
    <w:multiLevelType w:val="multilevel"/>
    <w:tmpl w:val="C21C5C84"/>
    <w:lvl w:ilvl="0">
      <w:start w:val="1"/>
      <w:numFmt w:val="decimal"/>
      <w:lvlText w:val="%1."/>
      <w:lvlJc w:val="left"/>
      <w:pPr>
        <w:ind w:left="1819" w:hanging="111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cs="Liberation Serif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Theme="minorHAnsi" w:cs="Liberation Serif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Theme="minorHAnsi" w:cs="Liberation Serif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Theme="minorHAnsi" w:cs="Liberation Serif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Theme="minorHAnsi" w:cs="Liberation Serif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Theme="minorHAnsi" w:cs="Liberation Serif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Theme="minorHAnsi" w:cs="Liberation Serif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Theme="minorHAnsi" w:cs="Liberation Serif"/>
      </w:rPr>
    </w:lvl>
  </w:abstractNum>
  <w:abstractNum w:abstractNumId="6">
    <w:nsid w:val="743740CC"/>
    <w:multiLevelType w:val="hybridMultilevel"/>
    <w:tmpl w:val="5762A3A0"/>
    <w:lvl w:ilvl="0" w:tplc="97CA93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5DBB69B7-2730-4B51-BB85-C9955F712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Pr>
      <w:color w:val="0000FF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Pr>
      <w:rFonts w:ascii="Calibri" w:eastAsia="Calibri" w:hAnsi="Calibri" w:cs="Times New Roman"/>
    </w:rPr>
  </w:style>
  <w:style w:type="paragraph" w:styleId="ab">
    <w:name w:val="Body Text"/>
    <w:basedOn w:val="a"/>
    <w:link w:val="ac"/>
    <w:semiHidden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semiHidden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79221-4890-4320-BF04-02B8AC01E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Ольга Павловна</dc:creator>
  <cp:keywords/>
  <dc:description/>
  <cp:lastModifiedBy>Фадеева Алена Михайловна</cp:lastModifiedBy>
  <cp:revision>76</cp:revision>
  <cp:lastPrinted>2020-12-25T04:35:00Z</cp:lastPrinted>
  <dcterms:created xsi:type="dcterms:W3CDTF">2019-12-20T03:14:00Z</dcterms:created>
  <dcterms:modified xsi:type="dcterms:W3CDTF">2020-12-25T04:35:00Z</dcterms:modified>
</cp:coreProperties>
</file>